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2DAB6" w14:textId="77777777" w:rsidR="002B0D47" w:rsidRDefault="002B0D47" w:rsidP="00486011">
      <w:pPr>
        <w:spacing w:before="240"/>
        <w:sectPr w:rsidR="002B0D47" w:rsidSect="00486011">
          <w:headerReference w:type="default" r:id="rId8"/>
          <w:footerReference w:type="default" r:id="rId9"/>
          <w:pgSz w:w="11900" w:h="16840"/>
          <w:pgMar w:top="720" w:right="720" w:bottom="346" w:left="720" w:header="720" w:footer="720" w:gutter="0"/>
          <w:cols w:space="720"/>
          <w:docGrid w:linePitch="360"/>
        </w:sectPr>
      </w:pPr>
    </w:p>
    <w:p w14:paraId="12DD7912" w14:textId="77777777" w:rsidR="0067060E" w:rsidRPr="006A39E1" w:rsidRDefault="0067060E" w:rsidP="006A39E1">
      <w:pPr>
        <w:ind w:right="1099"/>
        <w:jc w:val="center"/>
        <w:rPr>
          <w:rFonts w:ascii="Calibri" w:hAnsi="Calibri"/>
          <w:b/>
          <w:sz w:val="28"/>
          <w:szCs w:val="28"/>
        </w:rPr>
      </w:pPr>
      <w:r w:rsidRPr="006A39E1">
        <w:rPr>
          <w:rFonts w:ascii="Calibri" w:hAnsi="Calibri"/>
          <w:b/>
          <w:sz w:val="28"/>
          <w:szCs w:val="28"/>
        </w:rPr>
        <w:t>Volunteer Role Description</w:t>
      </w:r>
    </w:p>
    <w:p w14:paraId="557A723E" w14:textId="77777777" w:rsidR="00A96A83" w:rsidRPr="006A39E1" w:rsidRDefault="00A96A83" w:rsidP="006A39E1">
      <w:pPr>
        <w:ind w:right="1099"/>
        <w:jc w:val="center"/>
        <w:rPr>
          <w:rFonts w:ascii="Calibri" w:hAnsi="Calibri"/>
          <w:b/>
          <w:sz w:val="28"/>
          <w:szCs w:val="28"/>
        </w:rPr>
      </w:pPr>
    </w:p>
    <w:p w14:paraId="37923F98" w14:textId="009E8171" w:rsidR="006F35C3" w:rsidRPr="006A39E1" w:rsidRDefault="00A96A83" w:rsidP="006F35C3">
      <w:pPr>
        <w:ind w:right="1106"/>
        <w:jc w:val="center"/>
        <w:rPr>
          <w:rFonts w:ascii="Calibri" w:hAnsi="Calibri"/>
          <w:b/>
          <w:sz w:val="28"/>
          <w:szCs w:val="28"/>
        </w:rPr>
      </w:pPr>
      <w:r w:rsidRPr="006A39E1">
        <w:rPr>
          <w:rFonts w:ascii="Calibri" w:hAnsi="Calibri"/>
          <w:b/>
          <w:sz w:val="28"/>
          <w:szCs w:val="28"/>
        </w:rPr>
        <w:t>Museum of Edinburgh Courtyard Volunteer</w:t>
      </w:r>
    </w:p>
    <w:p w14:paraId="4D58311F" w14:textId="77777777" w:rsidR="00330A19" w:rsidRPr="00EF2348" w:rsidRDefault="00330A19" w:rsidP="008C745B">
      <w:pPr>
        <w:ind w:right="1106"/>
        <w:jc w:val="center"/>
        <w:rPr>
          <w:rFonts w:ascii="Calibri" w:hAnsi="Calibri"/>
          <w:b/>
          <w:sz w:val="32"/>
          <w:szCs w:val="32"/>
        </w:rPr>
      </w:pPr>
    </w:p>
    <w:tbl>
      <w:tblPr>
        <w:tblW w:w="9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68"/>
        <w:gridCol w:w="7668"/>
      </w:tblGrid>
      <w:tr w:rsidR="008B57BC" w:rsidRPr="001F0B1A" w14:paraId="61BCAF72" w14:textId="77777777" w:rsidTr="00D14EF6">
        <w:trPr>
          <w:jc w:val="center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4189" w14:textId="6F7B43D3" w:rsidR="008B57BC" w:rsidRPr="001F0B1A" w:rsidRDefault="008B57BC" w:rsidP="002B4F84">
            <w:pPr>
              <w:rPr>
                <w:b/>
              </w:rPr>
            </w:pPr>
            <w:r w:rsidRPr="001F0B1A">
              <w:rPr>
                <w:b/>
              </w:rPr>
              <w:t>Supervisor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280C0" w14:textId="77777777" w:rsidR="008B57BC" w:rsidRDefault="008B57BC" w:rsidP="00402E57">
            <w:pPr>
              <w:pStyle w:val="NoSpacing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Ria Sloan</w:t>
            </w:r>
          </w:p>
          <w:p w14:paraId="4B520729" w14:textId="77777777" w:rsidR="008B57BC" w:rsidRDefault="008B57BC" w:rsidP="00402E57">
            <w:pPr>
              <w:pStyle w:val="NoSpacing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Outreach and Access Manager</w:t>
            </w:r>
          </w:p>
          <w:p w14:paraId="24E99FB1" w14:textId="77777777" w:rsidR="008B57BC" w:rsidRDefault="008B57BC" w:rsidP="00402E57">
            <w:pPr>
              <w:pStyle w:val="NoSpacing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0131 529 4143</w:t>
            </w:r>
          </w:p>
          <w:p w14:paraId="53DE5E1C" w14:textId="77777777" w:rsidR="008B57BC" w:rsidRDefault="008B57BC" w:rsidP="00402E57">
            <w:pPr>
              <w:pStyle w:val="NoSpacing"/>
              <w:rPr>
                <w:rStyle w:val="Hyperlink"/>
                <w:rFonts w:asciiTheme="minorHAnsi" w:hAnsiTheme="minorHAnsi" w:cs="Calibri"/>
              </w:rPr>
            </w:pPr>
            <w:hyperlink r:id="rId10" w:history="1">
              <w:r w:rsidRPr="00773495">
                <w:rPr>
                  <w:rStyle w:val="Hyperlink"/>
                  <w:rFonts w:asciiTheme="minorHAnsi" w:hAnsiTheme="minorHAnsi" w:cs="Calibri"/>
                </w:rPr>
                <w:t>ria.sloan@edinburgh.gov.uk</w:t>
              </w:r>
            </w:hyperlink>
          </w:p>
          <w:p w14:paraId="319FFD14" w14:textId="64DF86DE" w:rsidR="0010282D" w:rsidRPr="008C745B" w:rsidRDefault="0010282D" w:rsidP="00402E57">
            <w:pPr>
              <w:pStyle w:val="NoSpacing"/>
              <w:rPr>
                <w:rFonts w:asciiTheme="minorHAnsi" w:hAnsiTheme="minorHAnsi" w:cs="Calibri"/>
              </w:rPr>
            </w:pPr>
          </w:p>
        </w:tc>
      </w:tr>
      <w:tr w:rsidR="00FD001E" w14:paraId="558A684C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A397AF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Information </w:t>
            </w:r>
          </w:p>
          <w:p w14:paraId="04FEE44D" w14:textId="77777777" w:rsidR="00FD001E" w:rsidRDefault="00FD001E">
            <w:pPr>
              <w:rPr>
                <w:rFonts w:ascii="Calibri" w:hAnsi="Calibri"/>
                <w:b/>
              </w:rPr>
            </w:pP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891BA4" w14:textId="14CD3CCE" w:rsidR="00330A19" w:rsidRDefault="008B57BC" w:rsidP="00330A19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Museum of Edinburgh courtyard is an oasis of calm </w:t>
            </w:r>
            <w:r w:rsidR="006A39E1">
              <w:rPr>
                <w:rFonts w:cs="Calibri"/>
              </w:rPr>
              <w:t>next to</w:t>
            </w:r>
            <w:r>
              <w:rPr>
                <w:rFonts w:cs="Calibri"/>
              </w:rPr>
              <w:t xml:space="preserve"> the Royal Mile. </w:t>
            </w:r>
            <w:r w:rsidR="00422CEA">
              <w:rPr>
                <w:rFonts w:cs="Calibri"/>
              </w:rPr>
              <w:t xml:space="preserve">It contains </w:t>
            </w:r>
            <w:r w:rsidR="006F35C3">
              <w:rPr>
                <w:rFonts w:cs="Calibri"/>
              </w:rPr>
              <w:t xml:space="preserve">stone fragments from some of Edinburgh’s oldest buildings that are no longer standing, as well as a variety of plants, flowers and herbs. </w:t>
            </w:r>
          </w:p>
          <w:p w14:paraId="0FB5987D" w14:textId="77777777" w:rsidR="0010282D" w:rsidRDefault="0010282D" w:rsidP="00330A19">
            <w:pPr>
              <w:rPr>
                <w:rFonts w:cs="Calibri"/>
              </w:rPr>
            </w:pPr>
          </w:p>
          <w:p w14:paraId="6F527D48" w14:textId="41651BCE" w:rsidR="0010282D" w:rsidRDefault="0010282D" w:rsidP="00330A19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bottom of the courtyard is focused on climate friendly gardening, with a water butt, compost bin, bird table, nature mural and seating made from reclaimed wood. </w:t>
            </w:r>
          </w:p>
          <w:p w14:paraId="75EE09D5" w14:textId="77777777" w:rsidR="00422CEA" w:rsidRPr="008C745B" w:rsidRDefault="00422CEA" w:rsidP="00330A19">
            <w:pPr>
              <w:rPr>
                <w:rFonts w:cs="Calibri"/>
              </w:rPr>
            </w:pPr>
          </w:p>
          <w:p w14:paraId="43F628DC" w14:textId="77777777" w:rsidR="00FD001E" w:rsidRPr="008C745B" w:rsidRDefault="00FD001E">
            <w:pPr>
              <w:rPr>
                <w:highlight w:val="yellow"/>
              </w:rPr>
            </w:pPr>
          </w:p>
        </w:tc>
      </w:tr>
      <w:tr w:rsidR="00FD001E" w14:paraId="082841A3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D0066C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Role Purpose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B5CB89" w14:textId="574E0376" w:rsidR="0010282D" w:rsidRPr="008C745B" w:rsidRDefault="008B57BC" w:rsidP="008B57BC">
            <w:pPr>
              <w:rPr>
                <w:rFonts w:cs="Calibri"/>
              </w:rPr>
            </w:pPr>
            <w:r>
              <w:rPr>
                <w:rFonts w:cs="Calibri"/>
              </w:rPr>
              <w:t>To</w:t>
            </w:r>
            <w:r w:rsidRPr="008C745B">
              <w:rPr>
                <w:rFonts w:cs="Calibri"/>
              </w:rPr>
              <w:t xml:space="preserve"> help maintain and develop the courtyard </w:t>
            </w:r>
            <w:r>
              <w:rPr>
                <w:rFonts w:cs="Calibri"/>
              </w:rPr>
              <w:t xml:space="preserve">garden </w:t>
            </w:r>
            <w:r w:rsidRPr="008C745B">
              <w:rPr>
                <w:rFonts w:cs="Calibri"/>
              </w:rPr>
              <w:t xml:space="preserve">as a pleasant and welcoming public space.  </w:t>
            </w:r>
          </w:p>
          <w:p w14:paraId="378F1BBF" w14:textId="77777777" w:rsidR="00FD001E" w:rsidRPr="008C745B" w:rsidRDefault="00FD001E" w:rsidP="00B426A4">
            <w:pPr>
              <w:rPr>
                <w:sz w:val="12"/>
                <w:szCs w:val="12"/>
                <w:highlight w:val="yellow"/>
              </w:rPr>
            </w:pPr>
          </w:p>
        </w:tc>
      </w:tr>
      <w:tr w:rsidR="00FD001E" w14:paraId="0D88DFF8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AB620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Responsibilities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CF3CA" w14:textId="2FC7C307" w:rsidR="006F35C3" w:rsidRPr="006F35C3" w:rsidRDefault="006F35C3" w:rsidP="008B57BC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</w:rPr>
              <w:t>Welcoming and interacting with visitors to the courtyard</w:t>
            </w:r>
          </w:p>
          <w:p w14:paraId="2EF61031" w14:textId="30B81AB0" w:rsidR="008B57BC" w:rsidRPr="008C745B" w:rsidRDefault="006A39E1" w:rsidP="008B57BC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</w:rPr>
              <w:t>Watering and m</w:t>
            </w:r>
            <w:r w:rsidR="008B57BC" w:rsidRPr="008C745B">
              <w:rPr>
                <w:rFonts w:asciiTheme="minorHAnsi" w:hAnsiTheme="minorHAnsi" w:cs="Calibri"/>
              </w:rPr>
              <w:t xml:space="preserve">aintaining the plants </w:t>
            </w:r>
            <w:r>
              <w:rPr>
                <w:rFonts w:asciiTheme="minorHAnsi" w:hAnsiTheme="minorHAnsi" w:cs="Calibri"/>
              </w:rPr>
              <w:t>in the space</w:t>
            </w:r>
          </w:p>
          <w:p w14:paraId="30D805FD" w14:textId="77777777" w:rsidR="008B57BC" w:rsidRPr="009604CE" w:rsidRDefault="008B57BC" w:rsidP="008B57BC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</w:rPr>
            </w:pPr>
            <w:r w:rsidRPr="008C745B">
              <w:rPr>
                <w:rFonts w:asciiTheme="minorHAnsi" w:hAnsiTheme="minorHAnsi" w:cs="Calibri"/>
              </w:rPr>
              <w:t>Keeping the courtyard clean and free of weeds</w:t>
            </w:r>
          </w:p>
          <w:p w14:paraId="11F3E84D" w14:textId="7A2E97AC" w:rsidR="008B57BC" w:rsidRPr="006F35C3" w:rsidRDefault="008B57BC" w:rsidP="006F35C3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</w:rPr>
              <w:t>Planting new flowers and herbs as required</w:t>
            </w:r>
          </w:p>
          <w:p w14:paraId="14F0D530" w14:textId="728860F0" w:rsidR="00EF2348" w:rsidRPr="008B57BC" w:rsidRDefault="008B57BC" w:rsidP="00EF2348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8C745B">
              <w:rPr>
                <w:rFonts w:asciiTheme="minorHAnsi" w:hAnsiTheme="minorHAnsi"/>
              </w:rPr>
              <w:t>Any other required responsibilities related to the role, as agreed between the volunteer and supervisor</w:t>
            </w:r>
          </w:p>
          <w:p w14:paraId="762F3ECB" w14:textId="77777777" w:rsidR="00FD001E" w:rsidRPr="008C745B" w:rsidRDefault="00FD001E" w:rsidP="006A39E1">
            <w:pPr>
              <w:pStyle w:val="NoSpacing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</w:tr>
      <w:tr w:rsidR="00FD001E" w14:paraId="3D04F627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4E810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Knowledge, Skills &amp; Experience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9CABF0" w14:textId="5D9F2D02" w:rsidR="006F35C3" w:rsidRDefault="006F35C3" w:rsidP="006F35C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Interest in gardening</w:t>
            </w:r>
          </w:p>
          <w:p w14:paraId="64C162C2" w14:textId="1F6E0CE3" w:rsidR="0010282D" w:rsidRPr="0010282D" w:rsidRDefault="0010282D" w:rsidP="0010282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Interest in Edinburgh’s history</w:t>
            </w:r>
          </w:p>
          <w:p w14:paraId="0B4010FF" w14:textId="77777777" w:rsidR="008B57BC" w:rsidRPr="008C745B" w:rsidRDefault="008B57BC" w:rsidP="008B57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 w:cs="Calibri"/>
              </w:rPr>
              <w:t>Good communication skills</w:t>
            </w:r>
          </w:p>
          <w:p w14:paraId="33D8B4A5" w14:textId="77777777" w:rsidR="008B57BC" w:rsidRPr="00525395" w:rsidRDefault="008B57BC" w:rsidP="008B57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 w:rsidRPr="008C745B">
              <w:rPr>
                <w:rFonts w:asciiTheme="minorHAnsi" w:hAnsiTheme="minorHAnsi" w:cs="Calibri"/>
              </w:rPr>
              <w:t xml:space="preserve">Happy to work largely unsupervised </w:t>
            </w:r>
          </w:p>
          <w:p w14:paraId="7812648D" w14:textId="7F7C70ED" w:rsidR="00525395" w:rsidRPr="008C745B" w:rsidRDefault="00525395" w:rsidP="008B57BC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Knowledge of/interest in composting useful but not essential</w:t>
            </w:r>
          </w:p>
          <w:p w14:paraId="6D3FA0B3" w14:textId="77777777" w:rsidR="00C502F0" w:rsidRPr="008C745B" w:rsidRDefault="00C502F0" w:rsidP="00C502F0">
            <w:pPr>
              <w:pStyle w:val="ListParagraph"/>
              <w:rPr>
                <w:rFonts w:asciiTheme="minorHAnsi" w:hAnsiTheme="minorHAnsi"/>
              </w:rPr>
            </w:pPr>
          </w:p>
        </w:tc>
      </w:tr>
      <w:tr w:rsidR="00FD001E" w14:paraId="62F2CF03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640B37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Commitment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1A1F73" w14:textId="4498A139" w:rsidR="00402E57" w:rsidRDefault="008B57BC" w:rsidP="008C745B">
            <w:r>
              <w:t>H</w:t>
            </w:r>
            <w:r w:rsidR="008C745B" w:rsidRPr="008C745B">
              <w:t>alf a day per week</w:t>
            </w:r>
            <w:r>
              <w:t xml:space="preserve"> </w:t>
            </w:r>
            <w:r w:rsidR="0010282D">
              <w:t>during Spring/Summer/Autumn</w:t>
            </w:r>
            <w:r w:rsidR="00167B6B">
              <w:t xml:space="preserve"> (weather permitting)</w:t>
            </w:r>
            <w:r w:rsidR="0010282D">
              <w:t xml:space="preserve">. The courtyard is open between </w:t>
            </w:r>
            <w:r w:rsidR="00EB3B42">
              <w:t>01 April – 30 September.</w:t>
            </w:r>
            <w:r w:rsidR="0010282D">
              <w:t xml:space="preserve"> </w:t>
            </w:r>
          </w:p>
          <w:p w14:paraId="4741D8A3" w14:textId="4420C114" w:rsidR="006F35C3" w:rsidRDefault="006F35C3" w:rsidP="008C745B"/>
          <w:p w14:paraId="053525AB" w14:textId="77777777" w:rsidR="00FD001E" w:rsidRPr="008C745B" w:rsidRDefault="00FD001E" w:rsidP="0010282D">
            <w:pPr>
              <w:rPr>
                <w:sz w:val="12"/>
                <w:szCs w:val="12"/>
                <w:highlight w:val="yellow"/>
              </w:rPr>
            </w:pPr>
          </w:p>
        </w:tc>
      </w:tr>
      <w:tr w:rsidR="00FD001E" w14:paraId="49D56833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C8FA7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 &amp; Training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1FBA08" w14:textId="188C7B25" w:rsidR="008C745B" w:rsidRPr="008C745B" w:rsidRDefault="008C745B" w:rsidP="008C745B">
            <w:r w:rsidRPr="008C745B">
              <w:t xml:space="preserve">Volunteers will be given </w:t>
            </w:r>
            <w:r w:rsidR="006A39E1">
              <w:t xml:space="preserve">an </w:t>
            </w:r>
            <w:r w:rsidRPr="008C745B">
              <w:t xml:space="preserve">induction </w:t>
            </w:r>
            <w:r w:rsidR="006A39E1">
              <w:t>to</w:t>
            </w:r>
            <w:r w:rsidRPr="008C745B">
              <w:t xml:space="preserve"> the courtyard</w:t>
            </w:r>
            <w:r w:rsidR="006A39E1">
              <w:t>.</w:t>
            </w:r>
          </w:p>
          <w:p w14:paraId="0F309FDF" w14:textId="4C064423" w:rsidR="008C745B" w:rsidRPr="008C745B" w:rsidRDefault="008C745B" w:rsidP="008C745B">
            <w:r w:rsidRPr="008C745B">
              <w:t>Support</w:t>
            </w:r>
            <w:r w:rsidR="006A39E1">
              <w:t xml:space="preserve"> and</w:t>
            </w:r>
            <w:r w:rsidRPr="008C745B">
              <w:t xml:space="preserve"> supervision will be provided, with regular meetings to </w:t>
            </w:r>
            <w:r w:rsidR="006A39E1">
              <w:t>discuss the role.</w:t>
            </w:r>
          </w:p>
          <w:p w14:paraId="5771F51E" w14:textId="77777777" w:rsidR="00FD001E" w:rsidRPr="008C745B" w:rsidRDefault="00FD001E" w:rsidP="00B426A4">
            <w:pPr>
              <w:tabs>
                <w:tab w:val="left" w:pos="276"/>
              </w:tabs>
              <w:rPr>
                <w:sz w:val="12"/>
                <w:szCs w:val="12"/>
                <w:highlight w:val="yellow"/>
              </w:rPr>
            </w:pPr>
          </w:p>
        </w:tc>
      </w:tr>
      <w:tr w:rsidR="00FD001E" w14:paraId="0BFFFB38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B4060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Expenses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B1602B" w14:textId="795D8697" w:rsidR="008C745B" w:rsidRPr="008C745B" w:rsidRDefault="00402E57" w:rsidP="008C745B">
            <w:r>
              <w:t>Pre-paid bus tickets for</w:t>
            </w:r>
            <w:r w:rsidR="008C745B" w:rsidRPr="008C745B">
              <w:t xml:space="preserve"> journeys within Edinburgh </w:t>
            </w:r>
            <w:r w:rsidR="00EB3B42">
              <w:t>can</w:t>
            </w:r>
            <w:r w:rsidR="008C745B" w:rsidRPr="008C745B">
              <w:t xml:space="preserve"> be provided</w:t>
            </w:r>
            <w:r w:rsidR="006A39E1">
              <w:t>.</w:t>
            </w:r>
          </w:p>
          <w:p w14:paraId="44C31B6D" w14:textId="77777777" w:rsidR="00FD001E" w:rsidRPr="008C745B" w:rsidRDefault="00FD001E" w:rsidP="00B426A4">
            <w:pPr>
              <w:rPr>
                <w:rFonts w:cs="Times New Roman"/>
                <w:sz w:val="12"/>
                <w:szCs w:val="12"/>
                <w:highlight w:val="yellow"/>
              </w:rPr>
            </w:pPr>
          </w:p>
        </w:tc>
      </w:tr>
      <w:tr w:rsidR="00FD001E" w14:paraId="7D72D5C5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545EB" w14:textId="77777777" w:rsidR="00FD001E" w:rsidRDefault="00FD00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Expectations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83983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Be courteous to members of the public, volunteers and staff</w:t>
            </w:r>
          </w:p>
          <w:p w14:paraId="79733B37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lastRenderedPageBreak/>
              <w:t xml:space="preserve">Commit to agreed dates and times </w:t>
            </w:r>
          </w:p>
          <w:p w14:paraId="54B3AB02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 xml:space="preserve">Arrive at sessions and meetings on time </w:t>
            </w:r>
          </w:p>
          <w:p w14:paraId="0BB459A6" w14:textId="77777777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>Give reasonable notice if unable to attend</w:t>
            </w:r>
          </w:p>
          <w:p w14:paraId="20DFFAB1" w14:textId="4FD17662" w:rsidR="00FD001E" w:rsidRPr="008C745B" w:rsidRDefault="00FD001E" w:rsidP="006B7314">
            <w:pPr>
              <w:pStyle w:val="ListParagraph"/>
              <w:numPr>
                <w:ilvl w:val="0"/>
                <w:numId w:val="7"/>
              </w:numPr>
              <w:tabs>
                <w:tab w:val="left" w:pos="276"/>
                <w:tab w:val="left" w:pos="336"/>
              </w:tabs>
              <w:rPr>
                <w:rFonts w:asciiTheme="minorHAnsi" w:hAnsiTheme="minorHAnsi"/>
              </w:rPr>
            </w:pPr>
            <w:r w:rsidRPr="008C745B">
              <w:rPr>
                <w:rFonts w:asciiTheme="minorHAnsi" w:hAnsiTheme="minorHAnsi"/>
              </w:rPr>
              <w:t xml:space="preserve">Abide by </w:t>
            </w:r>
            <w:r w:rsidR="00EB3B42">
              <w:rPr>
                <w:rFonts w:asciiTheme="minorHAnsi" w:hAnsiTheme="minorHAnsi"/>
              </w:rPr>
              <w:t>the City of Edinburgh Council’s</w:t>
            </w:r>
            <w:r w:rsidRPr="008C745B">
              <w:rPr>
                <w:rFonts w:asciiTheme="minorHAnsi" w:hAnsiTheme="minorHAnsi"/>
              </w:rPr>
              <w:t xml:space="preserve"> policies and codes of conduct</w:t>
            </w:r>
          </w:p>
          <w:p w14:paraId="4BA1136B" w14:textId="77777777" w:rsidR="00FD001E" w:rsidRPr="008C745B" w:rsidRDefault="00FD001E">
            <w:pPr>
              <w:tabs>
                <w:tab w:val="left" w:pos="276"/>
              </w:tabs>
              <w:rPr>
                <w:sz w:val="12"/>
                <w:szCs w:val="12"/>
                <w:highlight w:val="yellow"/>
              </w:rPr>
            </w:pPr>
          </w:p>
        </w:tc>
      </w:tr>
      <w:tr w:rsidR="00EB3B42" w14:paraId="25AD4304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2B242" w14:textId="42F78A7A" w:rsidR="00EB3B42" w:rsidRDefault="00EB3B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Access information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E60104" w14:textId="2E152972" w:rsidR="00EB3B42" w:rsidRPr="00EB3B42" w:rsidRDefault="00EB3B42" w:rsidP="00EB3B42">
            <w:r w:rsidRPr="00EB3B42">
              <w:rPr>
                <w:rStyle w:val="ydp3648e0a5textexposedshow"/>
              </w:rPr>
              <w:t xml:space="preserve">Due to the historic nature of the building there is no lift access within the museum. The courtyard is accessible through the museum which involves coming up and </w:t>
            </w:r>
            <w:r>
              <w:rPr>
                <w:rStyle w:val="ydp3648e0a5textexposedshow"/>
              </w:rPr>
              <w:t xml:space="preserve">then </w:t>
            </w:r>
            <w:r w:rsidRPr="00EB3B42">
              <w:rPr>
                <w:rStyle w:val="ydp3648e0a5textexposedshow"/>
              </w:rPr>
              <w:t xml:space="preserve">down </w:t>
            </w:r>
            <w:r>
              <w:rPr>
                <w:rStyle w:val="ydp3648e0a5textexposedshow"/>
              </w:rPr>
              <w:t xml:space="preserve">two separate flights of </w:t>
            </w:r>
            <w:r w:rsidRPr="00EB3B42">
              <w:rPr>
                <w:rStyle w:val="ydp3648e0a5textexposedshow"/>
              </w:rPr>
              <w:t>stairs</w:t>
            </w:r>
            <w:r>
              <w:rPr>
                <w:rStyle w:val="ydp3648e0a5textexposedshow"/>
              </w:rPr>
              <w:t>.</w:t>
            </w:r>
            <w:r w:rsidRPr="00EB3B42">
              <w:rPr>
                <w:rStyle w:val="ydp3648e0a5textexposedshow"/>
              </w:rPr>
              <w:t xml:space="preserve"> Toilets are </w:t>
            </w:r>
            <w:r>
              <w:rPr>
                <w:rStyle w:val="ydp3648e0a5textexposedshow"/>
              </w:rPr>
              <w:t>located at the museum reception and on the first floor of the museum.</w:t>
            </w:r>
            <w:r w:rsidRPr="00EB3B42">
              <w:rPr>
                <w:rStyle w:val="ydp3648e0a5textexposedshow"/>
              </w:rPr>
              <w:t xml:space="preserve"> </w:t>
            </w:r>
          </w:p>
          <w:p w14:paraId="2DDD8111" w14:textId="77777777" w:rsidR="00EB3B42" w:rsidRPr="00EB3B42" w:rsidRDefault="00EB3B42" w:rsidP="00EB3B42">
            <w:pPr>
              <w:tabs>
                <w:tab w:val="left" w:pos="276"/>
                <w:tab w:val="left" w:pos="336"/>
              </w:tabs>
            </w:pPr>
          </w:p>
        </w:tc>
      </w:tr>
      <w:tr w:rsidR="00FD001E" w14:paraId="756112BB" w14:textId="77777777" w:rsidTr="00402E57">
        <w:trPr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97FE7F8" w14:textId="77777777" w:rsidR="00FD001E" w:rsidRDefault="00FD001E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Location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F2E33E" w14:textId="77777777" w:rsidR="008C745B" w:rsidRPr="008C745B" w:rsidRDefault="008C745B" w:rsidP="008C745B">
            <w:r w:rsidRPr="008C745B">
              <w:t>Museum of Edinburgh, 142 Canongate, Royal Mile, Edinburgh, EH8 8DD</w:t>
            </w:r>
          </w:p>
          <w:p w14:paraId="5304ACAC" w14:textId="77777777" w:rsidR="00FD001E" w:rsidRPr="008C745B" w:rsidRDefault="00FD001E" w:rsidP="00B426A4">
            <w:pPr>
              <w:jc w:val="both"/>
              <w:rPr>
                <w:sz w:val="12"/>
                <w:szCs w:val="12"/>
                <w:highlight w:val="yellow"/>
              </w:rPr>
            </w:pPr>
          </w:p>
        </w:tc>
      </w:tr>
    </w:tbl>
    <w:p w14:paraId="1C6935D2" w14:textId="16C15A6F" w:rsidR="00167B6B" w:rsidRDefault="00FD001E" w:rsidP="00EB3B42">
      <w:pPr>
        <w:spacing w:before="240"/>
        <w:jc w:val="center"/>
        <w:rPr>
          <w:i/>
          <w:sz w:val="20"/>
          <w:szCs w:val="20"/>
        </w:rPr>
      </w:pPr>
      <w:r w:rsidRPr="006A39E1">
        <w:rPr>
          <w:i/>
          <w:sz w:val="20"/>
          <w:szCs w:val="20"/>
        </w:rPr>
        <w:t xml:space="preserve">Updated: </w:t>
      </w:r>
      <w:r w:rsidR="00EB3B42">
        <w:rPr>
          <w:i/>
          <w:sz w:val="20"/>
          <w:szCs w:val="20"/>
        </w:rPr>
        <w:t>27 March 2025</w:t>
      </w:r>
    </w:p>
    <w:p w14:paraId="7848F28C" w14:textId="71F09609" w:rsidR="0010282D" w:rsidRDefault="00EB3B42" w:rsidP="0010282D">
      <w:pPr>
        <w:spacing w:before="240"/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0BC42E89" wp14:editId="1C18FD1F">
            <wp:extent cx="3511550" cy="2633663"/>
            <wp:effectExtent l="0" t="0" r="0" b="0"/>
            <wp:docPr id="1840978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295" cy="264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590E3" w14:textId="3B7D565C" w:rsidR="00EB3B42" w:rsidRDefault="00EB3B42" w:rsidP="0010282D">
      <w:pPr>
        <w:spacing w:before="240"/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inline distT="0" distB="0" distL="0" distR="0" wp14:anchorId="42C453F1" wp14:editId="5AF5A071">
            <wp:extent cx="3540760" cy="2655570"/>
            <wp:effectExtent l="0" t="0" r="2540" b="0"/>
            <wp:docPr id="9741317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841" cy="266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82343" w14:textId="2355C3F7" w:rsidR="006F35C3" w:rsidRPr="006A39E1" w:rsidRDefault="006F35C3" w:rsidP="00525395">
      <w:pPr>
        <w:spacing w:before="240"/>
        <w:ind w:left="720" w:firstLine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The Museum of Edinburgh Courtyard</w:t>
      </w:r>
    </w:p>
    <w:sectPr w:rsidR="006F35C3" w:rsidRPr="006A39E1" w:rsidSect="002B0D47">
      <w:type w:val="continuous"/>
      <w:pgSz w:w="11900" w:h="16840"/>
      <w:pgMar w:top="720" w:right="720" w:bottom="346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D751" w14:textId="77777777" w:rsidR="004B0F0D" w:rsidRDefault="004B0F0D" w:rsidP="00486011">
      <w:r>
        <w:separator/>
      </w:r>
    </w:p>
  </w:endnote>
  <w:endnote w:type="continuationSeparator" w:id="0">
    <w:p w14:paraId="5D9816AE" w14:textId="77777777" w:rsidR="004B0F0D" w:rsidRDefault="004B0F0D" w:rsidP="0048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1E9D" w14:textId="77777777" w:rsidR="00486011" w:rsidRDefault="00486011" w:rsidP="0048601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0A4CEEC" wp14:editId="5DA325D9">
          <wp:simplePos x="0" y="0"/>
          <wp:positionH relativeFrom="column">
            <wp:posOffset>4585335</wp:posOffset>
          </wp:positionH>
          <wp:positionV relativeFrom="paragraph">
            <wp:posOffset>-217805</wp:posOffset>
          </wp:positionV>
          <wp:extent cx="2066290" cy="868680"/>
          <wp:effectExtent l="0" t="0" r="0" b="0"/>
          <wp:wrapThrough wrapText="bothSides">
            <wp:wrapPolygon edited="0">
              <wp:start x="0" y="0"/>
              <wp:lineTo x="0" y="20842"/>
              <wp:lineTo x="21242" y="20842"/>
              <wp:lineTo x="2124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_CECtab_plus_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29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1F30" w14:textId="77777777" w:rsidR="004B0F0D" w:rsidRDefault="004B0F0D" w:rsidP="00486011">
      <w:r>
        <w:separator/>
      </w:r>
    </w:p>
  </w:footnote>
  <w:footnote w:type="continuationSeparator" w:id="0">
    <w:p w14:paraId="0F02F803" w14:textId="77777777" w:rsidR="004B0F0D" w:rsidRDefault="004B0F0D" w:rsidP="0048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0CA1" w14:textId="77777777" w:rsidR="00486011" w:rsidRDefault="00486011">
    <w:pPr>
      <w:pStyle w:val="Header"/>
    </w:pPr>
    <w:r>
      <w:rPr>
        <w:noProof/>
        <w:lang w:eastAsia="en-GB"/>
      </w:rPr>
      <w:drawing>
        <wp:inline distT="0" distB="0" distL="0" distR="0" wp14:anchorId="34CFF7E7" wp14:editId="2966324F">
          <wp:extent cx="1392869" cy="91694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ums &amp; Galleries Edinburg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160" cy="93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DB4"/>
    <w:multiLevelType w:val="hybridMultilevel"/>
    <w:tmpl w:val="6210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83E22"/>
    <w:multiLevelType w:val="hybridMultilevel"/>
    <w:tmpl w:val="C7549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12694A"/>
    <w:multiLevelType w:val="hybridMultilevel"/>
    <w:tmpl w:val="DCE4C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F0760"/>
    <w:multiLevelType w:val="hybridMultilevel"/>
    <w:tmpl w:val="C0308A86"/>
    <w:lvl w:ilvl="0" w:tplc="A4DA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F470F"/>
    <w:multiLevelType w:val="hybridMultilevel"/>
    <w:tmpl w:val="76B44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444DD"/>
    <w:multiLevelType w:val="hybridMultilevel"/>
    <w:tmpl w:val="14EAB8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45FAA"/>
    <w:multiLevelType w:val="hybridMultilevel"/>
    <w:tmpl w:val="054A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34197">
    <w:abstractNumId w:val="0"/>
  </w:num>
  <w:num w:numId="2" w16cid:durableId="249585715">
    <w:abstractNumId w:val="5"/>
  </w:num>
  <w:num w:numId="3" w16cid:durableId="827357480">
    <w:abstractNumId w:val="1"/>
  </w:num>
  <w:num w:numId="4" w16cid:durableId="1013917049">
    <w:abstractNumId w:val="3"/>
  </w:num>
  <w:num w:numId="5" w16cid:durableId="259409926">
    <w:abstractNumId w:val="4"/>
  </w:num>
  <w:num w:numId="6" w16cid:durableId="785546468">
    <w:abstractNumId w:val="6"/>
  </w:num>
  <w:num w:numId="7" w16cid:durableId="110395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4HIQhkZ+wNKqCyEB1eACh4JEHOBvTCIS9JXexCnm2ZKvwNYoics1jUDKqZE9QSceIRfHbKr+qOij0AtcKQgRg==" w:salt="CUQRPoBvpsu/J9bWXKUBv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11"/>
    <w:rsid w:val="00084432"/>
    <w:rsid w:val="0010282D"/>
    <w:rsid w:val="00154F85"/>
    <w:rsid w:val="00167B6B"/>
    <w:rsid w:val="00273148"/>
    <w:rsid w:val="002B0D47"/>
    <w:rsid w:val="00330A19"/>
    <w:rsid w:val="00402E57"/>
    <w:rsid w:val="00422CEA"/>
    <w:rsid w:val="00474F4D"/>
    <w:rsid w:val="00486011"/>
    <w:rsid w:val="004B0F0D"/>
    <w:rsid w:val="00521F0A"/>
    <w:rsid w:val="00525395"/>
    <w:rsid w:val="005935F7"/>
    <w:rsid w:val="0067060E"/>
    <w:rsid w:val="006A39E1"/>
    <w:rsid w:val="006B7314"/>
    <w:rsid w:val="006F35C3"/>
    <w:rsid w:val="007E18C4"/>
    <w:rsid w:val="008863DD"/>
    <w:rsid w:val="00892FAE"/>
    <w:rsid w:val="008B57BC"/>
    <w:rsid w:val="008C745B"/>
    <w:rsid w:val="009A5E3C"/>
    <w:rsid w:val="009C474C"/>
    <w:rsid w:val="009D2E70"/>
    <w:rsid w:val="00A96A83"/>
    <w:rsid w:val="00AA0388"/>
    <w:rsid w:val="00AD381E"/>
    <w:rsid w:val="00B426A4"/>
    <w:rsid w:val="00B614E1"/>
    <w:rsid w:val="00C502F0"/>
    <w:rsid w:val="00CA5203"/>
    <w:rsid w:val="00D3397D"/>
    <w:rsid w:val="00E743BE"/>
    <w:rsid w:val="00E8678C"/>
    <w:rsid w:val="00EB3B42"/>
    <w:rsid w:val="00EF2348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CAAC0DE"/>
  <w15:docId w15:val="{7A0E45FE-3980-413E-B1CE-3A11D310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011"/>
  </w:style>
  <w:style w:type="paragraph" w:styleId="Footer">
    <w:name w:val="footer"/>
    <w:basedOn w:val="Normal"/>
    <w:link w:val="FooterChar"/>
    <w:uiPriority w:val="99"/>
    <w:unhideWhenUsed/>
    <w:rsid w:val="00486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011"/>
  </w:style>
  <w:style w:type="paragraph" w:styleId="Revision">
    <w:name w:val="Revision"/>
    <w:hidden/>
    <w:uiPriority w:val="99"/>
    <w:semiHidden/>
    <w:rsid w:val="00486011"/>
  </w:style>
  <w:style w:type="paragraph" w:styleId="NoSpacing">
    <w:name w:val="No Spacing"/>
    <w:uiPriority w:val="1"/>
    <w:qFormat/>
    <w:rsid w:val="00FD001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D001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rsid w:val="00A96A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5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B57BC"/>
    <w:rPr>
      <w:color w:val="605E5C"/>
      <w:shd w:val="clear" w:color="auto" w:fill="E1DFDD"/>
    </w:rPr>
  </w:style>
  <w:style w:type="character" w:customStyle="1" w:styleId="ydp3648e0a5textexposedshow">
    <w:name w:val="ydp3648e0a5text_exposed_show"/>
    <w:basedOn w:val="DefaultParagraphFont"/>
    <w:rsid w:val="009A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ria.sloan@edinburgh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8D6D21-BF97-43EE-B80C-F497F9C8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Ridley</dc:creator>
  <cp:keywords/>
  <dc:description/>
  <cp:lastModifiedBy>Ria Sloan</cp:lastModifiedBy>
  <cp:revision>6</cp:revision>
  <dcterms:created xsi:type="dcterms:W3CDTF">2023-11-20T11:16:00Z</dcterms:created>
  <dcterms:modified xsi:type="dcterms:W3CDTF">2025-03-31T09:07:00Z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-535418012</vt:i4>
  </property>
  <property fmtid="{D5CDD505-2E9C-101B-9397-08002B2CF9AE}" pid="3" name="_NewReviewCycle">
    <vt:lpwstr/>
  </property>
  <property fmtid="{D5CDD505-2E9C-101B-9397-08002B2CF9AE}" pid="4" name="_EmailSubject">
    <vt:lpwstr>Museums &amp; Galleries Edinburgh branding</vt:lpwstr>
  </property>
  <property fmtid="{D5CDD505-2E9C-101B-9397-08002B2CF9AE}" pid="5" name="_AuthorEmail">
    <vt:lpwstr>Andrew.Caldwell@edinburgh.gov.uk</vt:lpwstr>
  </property>
  <property fmtid="{D5CDD505-2E9C-101B-9397-08002B2CF9AE}" pid="6" name="_AuthorEmailDisplayName">
    <vt:lpwstr>Andrew Caldwell</vt:lpwstr>
  </property>
  <property fmtid="{D5CDD505-2E9C-101B-9397-08002B2CF9AE}" pid="7" name="_ReviewingToolsShownOnce">
    <vt:lpwstr/>
  </property>
</Properties>
</file>